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командно-штабные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командно-штабные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 6 марта2024 года личный состав центра принял участие в масштабныхВсероссийских командно-штабных учениях по ликвидации ЧС,обусловленных природными пожарами и весенними паводками. Ониорганизованы по поручению Правительства РФ и проходят под личнымконтролем главы МЧС России Александра Куренкова.</w:t>
            </w:r>
            <w:br/>
            <w:br/>
            <w:r>
              <w:rPr/>
              <w:t xml:space="preserve">Задача учений — выработка единых действий, направленных на снижениерисков возникновения ЧС и уменьшение числа пострадавших в периодпаводка и весенне-летнего пожароопасного сезона.</w:t>
            </w:r>
            <w:br/>
            <w:br/>
            <w:r>
              <w:rPr/>
              <w:t xml:space="preserve">Впервые в Тульской области при подготовке к безаварийному пропускупаводковых вод, наши пиротехники приняли участие в мероприятиях позащите мостовых сооружений. Был осуществлен подрыв порядка 20 тысячквадратных метров ледяных масс русла реки Дон.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2026-03-03T14:22:14+03:00</dcterms:created>
  <dcterms:modified xsi:type="dcterms:W3CDTF">2026-03-03T14:22:14+03:00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