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циклона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циклона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комплекса неблагоприятных метеоявлений в виде грозы,града, сильного дождя и порывов ветра на территории Тульскойобласти были зафиксированы падения деревьев, опор линийэлектропередач, а также повреждение крыш зданий.</w:t>
            </w:r>
            <w:br/>
            <w:br/>
            <w:r>
              <w:rPr/>
              <w:t xml:space="preserve">Так, были повреждены кровли девяти домов: три в городе Туле, шесть– в Ясногорском районе. Во время прохождения циклона в регионеупало более 300 деревьев, большинство из них – 290 – в областномцентре. Также упало три опоры ЛЭП, оказались повреждены 50светофоров.</w:t>
            </w:r>
            <w:br/>
            <w:br/>
            <w:r>
              <w:rPr/>
              <w:t xml:space="preserve">В ряде районов Тульской области были зафиксированы нарушенияэлектроснабжения. На все заявки незамедлительно осуществленореагирование спасательных и аварийных служб.</w:t>
            </w:r>
            <w:br/>
            <w:br/>
            <w:r>
              <w:rPr/>
              <w:t xml:space="preserve">В настоящее время проводится уборка деревьев с улиц.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2026-07-05T13:19:37+03:00</dcterms:created>
  <dcterms:modified xsi:type="dcterms:W3CDTF">2026-07-05T13:19:37+03:00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